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BE1920" w:rsidP="00E75510" w14:paraId="69AEEB24" w14:textId="14740937">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4252"/>
        <w:gridCol w:w="2268"/>
      </w:tblGrid>
      <w:tr w14:paraId="17085C3B" w14:textId="77777777" w:rsidTr="00643408">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69"/>
        </w:trPr>
        <w:tc>
          <w:tcPr>
            <w:tcW w:w="3545" w:type="dxa"/>
            <w:shd w:val="clear" w:color="auto" w:fill="BFBFBF"/>
            <w:vAlign w:val="center"/>
          </w:tcPr>
          <w:p w:rsidR="00613EC1" w:rsidRPr="00D1305C" w:rsidP="00643408" w14:paraId="5C2E3522" w14:textId="77777777">
            <w:pPr>
              <w:pStyle w:val="Heading2"/>
              <w:jc w:val="center"/>
            </w:pPr>
            <w:r>
              <w:t>Report of</w:t>
            </w:r>
          </w:p>
        </w:tc>
        <w:tc>
          <w:tcPr>
            <w:tcW w:w="4252" w:type="dxa"/>
            <w:shd w:val="clear" w:color="auto" w:fill="BFBFBF"/>
            <w:vAlign w:val="center"/>
          </w:tcPr>
          <w:p w:rsidR="00613EC1" w:rsidRPr="00D1305C" w:rsidP="00643408" w14:paraId="73B94732" w14:textId="0510C8E0">
            <w:pPr>
              <w:pStyle w:val="Heading2"/>
              <w:jc w:val="center"/>
            </w:pPr>
            <w:r>
              <w:t>Meeting</w:t>
            </w:r>
          </w:p>
        </w:tc>
        <w:tc>
          <w:tcPr>
            <w:tcW w:w="2268" w:type="dxa"/>
            <w:shd w:val="clear" w:color="auto" w:fill="BFBFBF"/>
            <w:vAlign w:val="center"/>
          </w:tcPr>
          <w:p w:rsidR="00613EC1" w:rsidRPr="00D1305C" w:rsidP="00643408" w14:paraId="25ED2DF2" w14:textId="77777777">
            <w:pPr>
              <w:pStyle w:val="Heading2"/>
              <w:jc w:val="center"/>
            </w:pPr>
            <w:r>
              <w:t>Date</w:t>
            </w:r>
          </w:p>
        </w:tc>
      </w:tr>
      <w:tr w14:paraId="022D1CCE" w14:textId="77777777" w:rsidTr="00643408">
        <w:tblPrEx>
          <w:tblW w:w="10065" w:type="dxa"/>
          <w:tblLayout w:type="fixed"/>
          <w:tblLook w:val="0000"/>
        </w:tblPrEx>
        <w:trPr>
          <w:cantSplit/>
          <w:trHeight w:val="654"/>
        </w:trPr>
        <w:tc>
          <w:tcPr>
            <w:tcW w:w="3545" w:type="dxa"/>
            <w:tcBorders>
              <w:bottom w:val="single" w:sz="4" w:space="0" w:color="auto"/>
            </w:tcBorders>
            <w:shd w:val="clear" w:color="auto" w:fill="auto"/>
            <w:vAlign w:val="center"/>
          </w:tcPr>
          <w:p w:rsidR="00957931" w:rsidP="00643408" w14:paraId="3ACF86F4" w14:textId="77777777">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Governance and Monitoring Officer</w:t>
            </w:r>
            <w:r>
              <w:rPr>
                <w:rFonts w:ascii="Arial" w:eastAsia="Times New Roman" w:hAnsi="Arial" w:cs="Arial"/>
                <w:color w:val="000000" w:themeColor="text1"/>
                <w:kern w:val="36"/>
                <w:lang w:eastAsia="en-GB"/>
              </w:rPr>
              <w:fldChar w:fldCharType="end"/>
            </w:r>
          </w:p>
          <w:p w:rsidR="005E7794" w:rsidRPr="007637E9" w:rsidP="00957931" w14:paraId="0CC6DA1E" w14:textId="09919FF7">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Pr="007637E9" w:rsidR="00613EC1">
              <w:rPr>
                <w:rFonts w:ascii="Arial" w:eastAsia="Times New Roman" w:hAnsi="Arial" w:cs="Arial"/>
                <w:color w:val="000000" w:themeColor="text1"/>
                <w:kern w:val="36"/>
                <w:lang w:eastAsia="en-GB"/>
              </w:rPr>
              <w:fldChar w:fldCharType="begin"/>
            </w:r>
            <w:r w:rsidRPr="007637E9" w:rsidR="00613EC1">
              <w:rPr>
                <w:rFonts w:ascii="Arial" w:eastAsia="Times New Roman" w:hAnsi="Arial" w:cs="Arial"/>
                <w:color w:val="000000" w:themeColor="text1"/>
                <w:kern w:val="36"/>
                <w:lang w:eastAsia="en-GB"/>
              </w:rPr>
              <w:instrText xml:space="preserve"> DOCPROPERTY  LeadMember  \* MERGEFORMAT </w:instrText>
            </w:r>
            <w:r w:rsidRPr="007637E9" w:rsidR="00613EC1">
              <w:rPr>
                <w:rFonts w:ascii="Arial" w:eastAsia="Times New Roman" w:hAnsi="Arial" w:cs="Arial"/>
                <w:color w:val="000000" w:themeColor="text1"/>
                <w:kern w:val="36"/>
                <w:lang w:eastAsia="en-GB"/>
              </w:rPr>
              <w:fldChar w:fldCharType="separate"/>
            </w:r>
            <w:r w:rsidRPr="007637E9" w:rsidR="00613EC1">
              <w:rPr>
                <w:rFonts w:ascii="Arial" w:eastAsia="Times New Roman" w:hAnsi="Arial" w:cs="Arial"/>
                <w:color w:val="000000" w:themeColor="text1"/>
                <w:kern w:val="36"/>
                <w:lang w:eastAsia="en-GB"/>
              </w:rPr>
              <w:t>Leader of the Council and Cabinet Member (Strategy and Reform)</w:t>
            </w:r>
            <w:r w:rsidRPr="007637E9" w:rsidR="00613EC1">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rsidR="00613EC1" w:rsidRPr="00A616BE" w:rsidP="00A616BE" w14:paraId="43AA6D97" w14:textId="49A20E57">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rsidR="00613EC1" w:rsidRPr="007637E9" w:rsidP="00643408" w14:paraId="7C3B18A3" w14:textId="5F620894">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31 January 2024</w:t>
            </w:r>
            <w:r>
              <w:rPr>
                <w:rFonts w:ascii="Arial" w:eastAsia="Times New Roman" w:hAnsi="Arial" w:cs="Arial"/>
                <w:color w:val="000000" w:themeColor="text1"/>
                <w:kern w:val="36"/>
                <w:lang w:eastAsia="en-GB"/>
              </w:rPr>
              <w:fldChar w:fldCharType="end"/>
            </w:r>
          </w:p>
        </w:tc>
      </w:tr>
    </w:tbl>
    <w:p w:rsidR="00613EC1" w:rsidP="00E75510" w14:paraId="1B98644D" w14:textId="404C901A">
      <w:pPr>
        <w:spacing w:after="0"/>
        <w:rPr>
          <w:rFonts w:ascii="Arial" w:eastAsia="Times New Roman" w:hAnsi="Arial" w:cs="Arial"/>
          <w:b/>
          <w:bCs/>
          <w:noProof/>
          <w:color w:val="000000" w:themeColor="text1"/>
          <w:kern w:val="36"/>
          <w:lang w:eastAsia="en-GB"/>
        </w:rPr>
      </w:pPr>
    </w:p>
    <w:p w:rsidR="00613EC1" w:rsidP="00E75510" w14:paraId="5440FCC7" w14:textId="77777777">
      <w:pPr>
        <w:spacing w:after="0"/>
        <w:rPr>
          <w:rFonts w:ascii="Arial" w:eastAsia="Times New Roman" w:hAnsi="Arial" w:cs="Arial"/>
          <w:b/>
          <w:bCs/>
          <w:noProof/>
          <w:color w:val="000000" w:themeColor="text1"/>
          <w:kern w:val="36"/>
          <w:lang w:eastAsia="en-GB"/>
        </w:rPr>
      </w:pPr>
    </w:p>
    <w:p w:rsidR="00BE1920" w:rsidP="00BE1920" w14:paraId="767FAD6D" w14:textId="77777777">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Calendar of Meetings 2024/25</w:t>
      </w:r>
      <w:r w:rsidRPr="00883AC9">
        <w:rPr>
          <w:rFonts w:asciiTheme="majorHAnsi" w:hAnsiTheme="majorHAnsi" w:cstheme="majorHAnsi"/>
          <w:sz w:val="28"/>
          <w:szCs w:val="28"/>
        </w:rPr>
        <w:fldChar w:fldCharType="end"/>
      </w:r>
    </w:p>
    <w:p w:rsidR="003E3722" w:rsidP="00E75510" w14:paraId="79B20D0A" w14:textId="26CFE1F7">
      <w:pPr>
        <w:spacing w:after="0"/>
        <w:rPr>
          <w:rFonts w:ascii="Arial" w:eastAsia="Times New Roman" w:hAnsi="Arial" w:cs="Arial"/>
          <w:b/>
          <w:bCs/>
          <w:color w:val="000000" w:themeColor="text1"/>
          <w:kern w:val="36"/>
          <w:lang w:eastAsia="en-GB"/>
        </w:rPr>
      </w:pPr>
    </w:p>
    <w:tbl>
      <w:tblPr>
        <w:tblStyle w:val="TableGrid"/>
        <w:tblW w:w="0" w:type="auto"/>
        <w:tblInd w:w="-5" w:type="dxa"/>
        <w:tblLook w:val="04A0"/>
      </w:tblPr>
      <w:tblGrid>
        <w:gridCol w:w="4508"/>
        <w:gridCol w:w="4508"/>
      </w:tblGrid>
      <w:tr w14:paraId="0AD96D7A" w14:textId="77777777" w:rsidTr="002F1805">
        <w:tblPrEx>
          <w:tblW w:w="0" w:type="auto"/>
          <w:tblInd w:w="-5" w:type="dxa"/>
          <w:tblLook w:val="04A0"/>
        </w:tblPrEx>
        <w:tc>
          <w:tcPr>
            <w:tcW w:w="4508" w:type="dxa"/>
          </w:tcPr>
          <w:p w:rsidR="00E75510" w:rsidRPr="00E75510" w:rsidP="00E75510" w14:paraId="74BA9174" w14:textId="377462C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rsidR="00E75510" w:rsidRPr="00E75510" w:rsidP="00284855" w14:paraId="0A0DED49" w14:textId="26E10057">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rsidR="00E75510" w:rsidRPr="00E75510" w:rsidP="00284855" w14:paraId="346B138A" w14:textId="20D6D091">
            <w:pPr>
              <w:pStyle w:val="Heading1"/>
              <w:spacing w:before="0" w:beforeAutospacing="0" w:after="0" w:afterAutospacing="0"/>
              <w:rPr>
                <w:rFonts w:asciiTheme="minorHAnsi" w:hAnsiTheme="minorHAnsi" w:cstheme="minorHAnsi"/>
                <w:sz w:val="22"/>
                <w:szCs w:val="22"/>
              </w:rPr>
            </w:pPr>
          </w:p>
        </w:tc>
      </w:tr>
    </w:tbl>
    <w:p w:rsidR="00CD4005" w:rsidP="006B62C4" w14:paraId="6EB32C55" w14:textId="221BAAAC">
      <w:pPr>
        <w:spacing w:after="0"/>
      </w:pPr>
    </w:p>
    <w:tbl>
      <w:tblPr>
        <w:tblStyle w:val="TableGrid"/>
        <w:tblW w:w="9021" w:type="dxa"/>
        <w:tblInd w:w="-5" w:type="dxa"/>
        <w:tblLook w:val="04A0"/>
      </w:tblPr>
      <w:tblGrid>
        <w:gridCol w:w="4513"/>
        <w:gridCol w:w="4508"/>
      </w:tblGrid>
      <w:tr w14:paraId="79243691" w14:textId="77777777" w:rsidTr="002F1805">
        <w:tblPrEx>
          <w:tblW w:w="9021" w:type="dxa"/>
          <w:tblInd w:w="-5" w:type="dxa"/>
          <w:tblLook w:val="04A0"/>
        </w:tblPrEx>
        <w:tc>
          <w:tcPr>
            <w:tcW w:w="4513" w:type="dxa"/>
          </w:tcPr>
          <w:p w:rsidR="00E75510" w:rsidRPr="00E75510" w:rsidP="00E75510" w14:paraId="403AD24C" w14:textId="521BBEE5">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rsidR="00E75510" w:rsidRPr="00E75510" w:rsidP="00E75510" w14:paraId="2A24F18B" w14:textId="6C0BFEA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E75510" w:rsidRPr="00E75510" w:rsidP="00E75510" w14:paraId="09B9C76A" w14:textId="23360EF0">
            <w:pPr>
              <w:pStyle w:val="Heading1"/>
              <w:spacing w:before="0" w:beforeAutospacing="0" w:after="0" w:afterAutospacing="0"/>
              <w:rPr>
                <w:rFonts w:asciiTheme="minorHAnsi" w:hAnsiTheme="minorHAnsi" w:cstheme="minorHAnsi"/>
                <w:sz w:val="24"/>
                <w:szCs w:val="24"/>
              </w:rPr>
            </w:pPr>
          </w:p>
        </w:tc>
      </w:tr>
    </w:tbl>
    <w:p w:rsidR="00E75510" w:rsidP="006B62C4" w14:paraId="1A6F3A77" w14:textId="3822A0A0">
      <w:pPr>
        <w:spacing w:after="0"/>
      </w:pPr>
    </w:p>
    <w:p w:rsidR="00D1305C" w:rsidP="006B62C4" w14:paraId="6022D43D" w14:textId="0831C57B">
      <w:pPr>
        <w:pStyle w:val="Heading2"/>
      </w:pPr>
      <w:r w:rsidRPr="007637E9">
        <w:t>Purpose of the Report</w:t>
      </w:r>
    </w:p>
    <w:p w:rsidR="003F64E2" w:rsidRPr="002F1805" w:rsidP="006B62C4" w14:paraId="7871BEC5" w14:textId="77777777">
      <w:pPr>
        <w:spacing w:after="0"/>
      </w:pPr>
    </w:p>
    <w:p w:rsidR="003F64E2" w:rsidRPr="007637E9" w:rsidP="002F1805" w14:paraId="0A44B072" w14:textId="77777777">
      <w:pPr>
        <w:pStyle w:val="Heading2"/>
        <w:rPr>
          <w:rFonts w:asciiTheme="majorHAnsi" w:hAnsiTheme="majorHAnsi" w:cstheme="majorHAnsi"/>
          <w:sz w:val="2"/>
          <w:szCs w:val="14"/>
        </w:rPr>
      </w:pPr>
    </w:p>
    <w:p w:rsidR="00D1305C" w:rsidRPr="00D233F0" w:rsidP="00D233F0" w14:paraId="333504B3" w14:textId="259A60B0">
      <w:pPr>
        <w:numPr>
          <w:ilvl w:val="0"/>
          <w:numId w:val="8"/>
        </w:numPr>
        <w:spacing w:after="0" w:line="240" w:lineRule="auto"/>
        <w:ind w:left="567" w:hanging="567"/>
        <w:jc w:val="both"/>
        <w:rPr>
          <w:rFonts w:cstheme="minorHAnsi"/>
          <w:bCs/>
          <w:iCs/>
        </w:rPr>
      </w:pPr>
      <w:r w:rsidRPr="00D233F0">
        <w:rPr>
          <w:rFonts w:cstheme="minorHAnsi"/>
          <w:bCs/>
          <w:iCs/>
        </w:rPr>
        <w:t>To provide members notice of, and to seek approval for the calendar of meetings scheduled for the 202</w:t>
      </w:r>
      <w:r>
        <w:rPr>
          <w:rFonts w:cstheme="minorHAnsi"/>
          <w:bCs/>
          <w:iCs/>
        </w:rPr>
        <w:t>4/</w:t>
      </w:r>
      <w:r w:rsidRPr="00D233F0">
        <w:rPr>
          <w:rFonts w:cstheme="minorHAnsi"/>
          <w:bCs/>
          <w:iCs/>
        </w:rPr>
        <w:t>2</w:t>
      </w:r>
      <w:r>
        <w:rPr>
          <w:rFonts w:cstheme="minorHAnsi"/>
          <w:bCs/>
          <w:iCs/>
        </w:rPr>
        <w:t>5</w:t>
      </w:r>
      <w:r w:rsidRPr="00D233F0">
        <w:rPr>
          <w:rFonts w:cstheme="minorHAnsi"/>
          <w:bCs/>
          <w:iCs/>
        </w:rPr>
        <w:t xml:space="preserve"> municipal year.</w:t>
      </w:r>
    </w:p>
    <w:p w:rsidR="00831138" w:rsidP="00831138" w14:paraId="29821A64" w14:textId="77777777">
      <w:pPr>
        <w:spacing w:after="0" w:line="240" w:lineRule="auto"/>
        <w:jc w:val="both"/>
        <w:rPr>
          <w:rFonts w:cstheme="minorHAnsi"/>
          <w:bCs/>
          <w:iCs/>
        </w:rPr>
      </w:pPr>
    </w:p>
    <w:p w:rsidR="00831138" w:rsidP="00831138" w14:paraId="6315E615" w14:textId="7B458486">
      <w:pPr>
        <w:pStyle w:val="Heading2"/>
        <w:rPr>
          <w:rFonts w:asciiTheme="majorHAnsi" w:hAnsiTheme="majorHAnsi" w:cstheme="majorHAnsi"/>
          <w:b w:val="0"/>
          <w:bCs w:val="0"/>
        </w:rPr>
      </w:pPr>
      <w:r>
        <w:rPr>
          <w:rFonts w:asciiTheme="majorHAnsi" w:hAnsiTheme="majorHAnsi" w:cstheme="majorHAnsi"/>
        </w:rPr>
        <w:t xml:space="preserve">Recommendations to Council </w:t>
      </w:r>
    </w:p>
    <w:p w:rsidR="003C06A0" w:rsidP="003C06A0" w14:paraId="5243655B" w14:textId="77777777">
      <w:pPr>
        <w:spacing w:after="0"/>
      </w:pPr>
    </w:p>
    <w:p w:rsidR="008C37E1" w:rsidP="008C37E1" w14:paraId="4D3FB65E" w14:textId="11FB3C7E">
      <w:pPr>
        <w:numPr>
          <w:ilvl w:val="0"/>
          <w:numId w:val="8"/>
        </w:numPr>
        <w:spacing w:after="0" w:line="240" w:lineRule="auto"/>
        <w:ind w:left="567" w:hanging="567"/>
        <w:jc w:val="both"/>
        <w:rPr>
          <w:rFonts w:cstheme="minorHAnsi"/>
          <w:bCs/>
          <w:iCs/>
        </w:rPr>
      </w:pPr>
      <w:r w:rsidRPr="00D233F0">
        <w:rPr>
          <w:rFonts w:cstheme="minorHAnsi"/>
          <w:bCs/>
          <w:iCs/>
        </w:rPr>
        <w:t>That the 202</w:t>
      </w:r>
      <w:r>
        <w:rPr>
          <w:rFonts w:cstheme="minorHAnsi"/>
          <w:bCs/>
          <w:iCs/>
        </w:rPr>
        <w:t>4/</w:t>
      </w:r>
      <w:r w:rsidRPr="00D233F0">
        <w:rPr>
          <w:rFonts w:cstheme="minorHAnsi"/>
          <w:bCs/>
          <w:iCs/>
        </w:rPr>
        <w:t>202</w:t>
      </w:r>
      <w:r>
        <w:rPr>
          <w:rFonts w:cstheme="minorHAnsi"/>
          <w:bCs/>
          <w:iCs/>
        </w:rPr>
        <w:t>5</w:t>
      </w:r>
      <w:r w:rsidRPr="00D233F0">
        <w:rPr>
          <w:rFonts w:cstheme="minorHAnsi"/>
          <w:bCs/>
          <w:iCs/>
        </w:rPr>
        <w:t xml:space="preserve"> calendar of meetings, as shown at Appendix 1, be approved.</w:t>
      </w:r>
    </w:p>
    <w:p w:rsidR="00B719B2" w:rsidP="0053497B" w14:paraId="335C7A5C" w14:textId="77777777">
      <w:pPr>
        <w:spacing w:after="0" w:line="240" w:lineRule="auto"/>
        <w:ind w:left="567"/>
        <w:jc w:val="both"/>
        <w:rPr>
          <w:rFonts w:cstheme="minorHAnsi"/>
          <w:bCs/>
          <w:iCs/>
        </w:rPr>
      </w:pPr>
    </w:p>
    <w:p w:rsidR="007D4CD8" w:rsidP="008C37E1" w14:paraId="3EEEAA7C" w14:textId="16E89770">
      <w:pPr>
        <w:numPr>
          <w:ilvl w:val="0"/>
          <w:numId w:val="8"/>
        </w:numPr>
        <w:spacing w:after="0" w:line="240" w:lineRule="auto"/>
        <w:ind w:left="567" w:hanging="567"/>
        <w:jc w:val="both"/>
        <w:rPr>
          <w:rFonts w:cstheme="minorHAnsi"/>
          <w:bCs/>
          <w:iCs/>
        </w:rPr>
      </w:pPr>
      <w:r>
        <w:rPr>
          <w:rFonts w:cstheme="minorHAnsi"/>
          <w:bCs/>
          <w:iCs/>
        </w:rPr>
        <w:t>That the Director of Governance be given authority to make the necessary amendments to the Constitution to enable the Mayor Making meeting to take place after the Annual Meeting of the Council.</w:t>
      </w:r>
      <w:r w:rsidR="00CD2D2B">
        <w:rPr>
          <w:rFonts w:cstheme="minorHAnsi"/>
          <w:bCs/>
          <w:iCs/>
        </w:rPr>
        <w:t xml:space="preserve"> </w:t>
      </w:r>
    </w:p>
    <w:p w:rsidR="00D233F0" w:rsidRPr="00D233F0" w:rsidP="00D233F0" w14:paraId="398998D3" w14:textId="77777777">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78D929ED" w14:textId="77777777" w:rsidTr="00E709F7">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E10BF8" w:rsidP="00E709F7" w14:paraId="1CA7264F" w14:textId="77777777">
            <w:pPr>
              <w:pStyle w:val="Heading2"/>
            </w:pPr>
            <w:r w:rsidRPr="00613EC1">
              <w:t>Reasons for recommendations</w:t>
            </w:r>
          </w:p>
          <w:p w:rsidR="00E10BF8" w:rsidP="00E709F7" w14:paraId="3F569D31" w14:textId="77777777"/>
        </w:tc>
      </w:tr>
      <w:tr w14:paraId="765A3A56" w14:textId="77777777" w:rsidTr="00D233F0">
        <w:tblPrEx>
          <w:tblW w:w="0" w:type="auto"/>
          <w:tblInd w:w="-142" w:type="dxa"/>
          <w:tblLook w:val="04A0"/>
        </w:tblPrEx>
        <w:trPr>
          <w:gridBefore w:val="1"/>
          <w:wBefore w:w="142" w:type="dxa"/>
          <w:trHeight w:val="80"/>
        </w:trPr>
        <w:tc>
          <w:tcPr>
            <w:tcW w:w="9016" w:type="dxa"/>
            <w:gridSpan w:val="2"/>
          </w:tcPr>
          <w:p w:rsidR="00E10BF8" w:rsidRPr="00D233F0" w:rsidP="009B1145" w14:paraId="296DDA3E" w14:textId="65E732EC">
            <w:pPr>
              <w:pStyle w:val="ListParagraph"/>
              <w:numPr>
                <w:ilvl w:val="0"/>
                <w:numId w:val="8"/>
              </w:numPr>
              <w:spacing w:after="0" w:line="240" w:lineRule="auto"/>
              <w:ind w:left="567" w:hanging="672"/>
              <w:jc w:val="both"/>
              <w:rPr>
                <w:rFonts w:cstheme="minorHAnsi"/>
                <w:bCs/>
                <w:iCs/>
              </w:rPr>
            </w:pPr>
            <w:r w:rsidRPr="00D233F0">
              <w:rPr>
                <w:rFonts w:cstheme="minorHAnsi"/>
                <w:bCs/>
                <w:iCs/>
              </w:rPr>
              <w:t>Approving the calendar of meetings for the forthcoming municipal year at this time will ensure that preparation can begin, and arrangements be made in advance of May 2024.</w:t>
            </w:r>
          </w:p>
        </w:tc>
      </w:tr>
    </w:tbl>
    <w:p w:rsidR="00E10BF8" w:rsidP="008C37E1" w14:paraId="13F3DAAC" w14:textId="59513692">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6C4B6455" w14:textId="77777777" w:rsidTr="002F4B61">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E10BF8" w:rsidP="002F4B61" w14:paraId="3D6705DE" w14:textId="77777777">
            <w:pPr>
              <w:pStyle w:val="Heading2"/>
            </w:pPr>
            <w:r w:rsidRPr="00613EC1">
              <w:t xml:space="preserve">Other options considered and </w:t>
            </w:r>
            <w:r w:rsidRPr="00613EC1">
              <w:t>rejected</w:t>
            </w:r>
          </w:p>
          <w:p w:rsidR="00E10BF8" w:rsidP="002F4B61" w14:paraId="5DA05E38" w14:textId="460EB5F3"/>
        </w:tc>
      </w:tr>
      <w:tr w14:paraId="0C9ABC90" w14:textId="77777777" w:rsidTr="002F4B61">
        <w:tblPrEx>
          <w:tblW w:w="0" w:type="auto"/>
          <w:tblInd w:w="-142" w:type="dxa"/>
          <w:tblLook w:val="04A0"/>
        </w:tblPrEx>
        <w:trPr>
          <w:gridBefore w:val="1"/>
          <w:wBefore w:w="142" w:type="dxa"/>
        </w:trPr>
        <w:tc>
          <w:tcPr>
            <w:tcW w:w="9016" w:type="dxa"/>
            <w:gridSpan w:val="2"/>
          </w:tcPr>
          <w:p w:rsidR="00E10BF8" w:rsidRPr="009B1145" w:rsidP="009B1145" w14:paraId="2354F07D" w14:textId="6B2C2861">
            <w:pPr>
              <w:pStyle w:val="ListParagraph"/>
              <w:numPr>
                <w:ilvl w:val="0"/>
                <w:numId w:val="8"/>
              </w:numPr>
              <w:spacing w:after="0" w:line="240" w:lineRule="auto"/>
              <w:ind w:left="604" w:hanging="709"/>
              <w:jc w:val="both"/>
              <w:rPr>
                <w:rFonts w:cstheme="minorHAnsi"/>
                <w:bCs/>
                <w:iCs/>
              </w:rPr>
            </w:pPr>
            <w:r w:rsidRPr="009B1145">
              <w:rPr>
                <w:rFonts w:cstheme="minorHAnsi"/>
                <w:bCs/>
                <w:iCs/>
              </w:rPr>
              <w:t>There were no other options to be considered. The Council must organise and publicise a schedule of meetings to allow for preparation of reports and work programmes; to ensure availability and attendance of members and officers; and to facilitate public participation in meetings where permitted.</w:t>
            </w:r>
          </w:p>
        </w:tc>
      </w:tr>
    </w:tbl>
    <w:p w:rsidR="00D1305C" w:rsidRPr="002F1805" w:rsidP="002F1805" w14:paraId="6EC42FAA" w14:textId="77777777">
      <w:pPr>
        <w:spacing w:after="0" w:line="240" w:lineRule="auto"/>
        <w:jc w:val="both"/>
        <w:rPr>
          <w:rFonts w:cstheme="minorHAnsi"/>
          <w:bCs/>
          <w:iCs/>
        </w:rPr>
      </w:pPr>
    </w:p>
    <w:p w:rsidR="00B719B2" w14:paraId="654C50A9" w14:textId="77777777">
      <w:pPr>
        <w:rPr>
          <w:rFonts w:ascii="Arial" w:eastAsia="Times New Roman" w:hAnsi="Arial" w:cs="Times New Roman"/>
          <w:b/>
          <w:bCs/>
          <w:szCs w:val="36"/>
          <w:lang w:eastAsia="en-GB"/>
        </w:rPr>
      </w:pPr>
      <w:r>
        <w:br w:type="page"/>
      </w:r>
    </w:p>
    <w:p w:rsidR="00D1305C" w:rsidRPr="008C37E1" w:rsidP="002F4B61" w14:paraId="50BF898F" w14:textId="0DC8A41B">
      <w:pPr>
        <w:pStyle w:val="Heading2"/>
      </w:pPr>
      <w:r w:rsidRPr="008C37E1">
        <w:t xml:space="preserve">Corporate </w:t>
      </w:r>
      <w:r w:rsidRPr="008C37E1" w:rsidR="003E3722">
        <w:t>priorities</w:t>
      </w:r>
    </w:p>
    <w:p w:rsidR="002F1805" w:rsidRPr="002F1805" w:rsidP="002F4B61" w14:paraId="2CD603A6" w14:textId="77777777">
      <w:pPr>
        <w:spacing w:after="0"/>
      </w:pPr>
    </w:p>
    <w:p w:rsidR="00D1305C" w:rsidRPr="00CD4005" w:rsidP="00B719B2" w14:paraId="5F0D0272" w14:textId="28D071C4">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rsidR="00D1305C" w:rsidRPr="002F1805" w:rsidP="002F1805" w14:paraId="1123C4E8" w14:textId="77777777">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4678"/>
      </w:tblGrid>
      <w:tr w14:paraId="6ADAB65E" w14:textId="77777777" w:rsidTr="009A018E">
        <w:tblPrEx>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707" w:type="dxa"/>
          </w:tcPr>
          <w:p w:rsidR="008F13BA" w:rsidRPr="002A26B8" w:rsidP="00804F02" w14:paraId="2DBEC97A" w14:textId="2DD93C0C">
            <w:pPr>
              <w:tabs>
                <w:tab w:val="left" w:pos="567"/>
              </w:tabs>
              <w:jc w:val="center"/>
              <w:rPr>
                <w:b/>
                <w:bCs/>
              </w:rPr>
            </w:pPr>
            <w:r w:rsidRPr="002A26B8">
              <w:rPr>
                <w:rFonts w:ascii="Arial" w:hAnsi="Arial" w:cs="Arial"/>
                <w:b/>
                <w:bCs/>
              </w:rPr>
              <w:t>An exemplary council</w:t>
            </w:r>
          </w:p>
        </w:tc>
        <w:tc>
          <w:tcPr>
            <w:tcW w:w="4678" w:type="dxa"/>
          </w:tcPr>
          <w:p w:rsidR="008F13BA" w:rsidRPr="00B85F3A" w:rsidP="00804F02" w14:paraId="4FADAC6E" w14:textId="74065E21">
            <w:pPr>
              <w:tabs>
                <w:tab w:val="left" w:pos="567"/>
              </w:tabs>
              <w:jc w:val="center"/>
            </w:pPr>
            <w:r>
              <w:rPr>
                <w:rFonts w:ascii="Arial" w:hAnsi="Arial" w:cs="Arial"/>
              </w:rPr>
              <w:t>Healthy and Happy Communities</w:t>
            </w:r>
          </w:p>
        </w:tc>
      </w:tr>
      <w:tr w14:paraId="1E03E666" w14:textId="77777777" w:rsidTr="009A018E">
        <w:tblPrEx>
          <w:tblW w:w="9385" w:type="dxa"/>
          <w:tblInd w:w="-34" w:type="dxa"/>
          <w:tblLayout w:type="fixed"/>
          <w:tblLook w:val="0000"/>
        </w:tblPrEx>
        <w:tc>
          <w:tcPr>
            <w:tcW w:w="4707" w:type="dxa"/>
          </w:tcPr>
          <w:p w:rsidR="008F13BA" w:rsidRPr="00B85F3A" w:rsidP="009A018E" w14:paraId="63931B2C" w14:textId="33560BE7">
            <w:pPr>
              <w:tabs>
                <w:tab w:val="left" w:pos="567"/>
              </w:tabs>
              <w:spacing w:after="0"/>
              <w:jc w:val="center"/>
            </w:pPr>
            <w:r>
              <w:rPr>
                <w:rFonts w:ascii="Arial" w:hAnsi="Arial" w:cs="Arial"/>
              </w:rPr>
              <w:t>Opportunities for Everyone</w:t>
            </w:r>
          </w:p>
        </w:tc>
        <w:tc>
          <w:tcPr>
            <w:tcW w:w="4678" w:type="dxa"/>
          </w:tcPr>
          <w:p w:rsidR="008F13BA" w:rsidRPr="00B85F3A" w:rsidP="00804F02" w14:paraId="46CCFE25" w14:textId="10BFC227">
            <w:pPr>
              <w:autoSpaceDE w:val="0"/>
              <w:autoSpaceDN w:val="0"/>
              <w:adjustRightInd w:val="0"/>
              <w:spacing w:after="0"/>
              <w:jc w:val="center"/>
            </w:pPr>
            <w:r>
              <w:rPr>
                <w:rFonts w:ascii="Arial" w:hAnsi="Arial" w:cs="Arial"/>
              </w:rPr>
              <w:t>Green and Clean Neighbourhoods</w:t>
            </w:r>
          </w:p>
        </w:tc>
      </w:tr>
    </w:tbl>
    <w:p w:rsidR="00D1305C" w:rsidRPr="00D4431F" w:rsidP="002F1805" w14:paraId="7E4A9580" w14:textId="77777777">
      <w:pPr>
        <w:spacing w:after="0" w:line="240" w:lineRule="auto"/>
        <w:jc w:val="both"/>
        <w:rPr>
          <w:rFonts w:cstheme="minorHAnsi"/>
          <w:bCs/>
        </w:rPr>
      </w:pPr>
    </w:p>
    <w:p w:rsidR="00D1305C" w:rsidRPr="008C37E1" w:rsidP="002B17E6" w14:paraId="0E564E0F" w14:textId="5FA94032">
      <w:pPr>
        <w:pStyle w:val="Heading2"/>
      </w:pPr>
      <w:r w:rsidRPr="008C37E1">
        <w:t>Background to the report</w:t>
      </w:r>
    </w:p>
    <w:p w:rsidR="002F1805" w:rsidRPr="002F1805" w:rsidP="002F4B61" w14:paraId="4D083E1A" w14:textId="77777777">
      <w:pPr>
        <w:spacing w:after="0"/>
      </w:pPr>
    </w:p>
    <w:p w:rsidR="00950219" w:rsidRPr="00950219" w:rsidP="00950219" w14:paraId="4EFDDCDC" w14:textId="664885EA">
      <w:pPr>
        <w:numPr>
          <w:ilvl w:val="0"/>
          <w:numId w:val="11"/>
        </w:numPr>
        <w:spacing w:after="0" w:line="240" w:lineRule="auto"/>
        <w:ind w:left="567" w:hanging="567"/>
        <w:jc w:val="both"/>
        <w:rPr>
          <w:rFonts w:cstheme="minorHAnsi"/>
          <w:bCs/>
          <w:iCs/>
        </w:rPr>
      </w:pPr>
      <w:r w:rsidRPr="00950219">
        <w:rPr>
          <w:rFonts w:cstheme="minorHAnsi"/>
          <w:bCs/>
          <w:iCs/>
        </w:rPr>
        <w:t>The calendar of meetings is devised on annual basis in advance of the new municipal year.</w:t>
      </w:r>
    </w:p>
    <w:p w:rsidR="00950219" w:rsidRPr="00950219" w:rsidP="00950219" w14:paraId="64FCDD52" w14:textId="77777777">
      <w:pPr>
        <w:spacing w:after="0" w:line="240" w:lineRule="auto"/>
        <w:ind w:left="567" w:hanging="567"/>
        <w:jc w:val="both"/>
        <w:rPr>
          <w:rFonts w:cstheme="minorHAnsi"/>
          <w:bCs/>
          <w:iCs/>
        </w:rPr>
      </w:pPr>
    </w:p>
    <w:p w:rsidR="00D1305C" w:rsidRPr="00950219" w:rsidP="00950219" w14:paraId="51B2CB7A" w14:textId="646D98C3">
      <w:pPr>
        <w:numPr>
          <w:ilvl w:val="0"/>
          <w:numId w:val="11"/>
        </w:numPr>
        <w:spacing w:after="0" w:line="240" w:lineRule="auto"/>
        <w:ind w:left="567" w:hanging="567"/>
        <w:jc w:val="both"/>
        <w:rPr>
          <w:rFonts w:cstheme="minorHAnsi"/>
          <w:bCs/>
          <w:iCs/>
        </w:rPr>
      </w:pPr>
      <w:r w:rsidRPr="00950219">
        <w:rPr>
          <w:rFonts w:cstheme="minorHAnsi"/>
          <w:bCs/>
          <w:iCs/>
        </w:rPr>
        <w:t>Members will be aware that the calendar of meetings is normally submitted for consideration at this time of the year to assist officers and members with forward planning.</w:t>
      </w:r>
      <w:r w:rsidRPr="00950219">
        <w:rPr>
          <w:rFonts w:cstheme="minorHAnsi"/>
          <w:bCs/>
          <w:iCs/>
        </w:rPr>
        <w:cr/>
      </w:r>
    </w:p>
    <w:p w:rsidR="00CD4005" w:rsidRPr="008C37E1" w:rsidP="002F4B61" w14:paraId="4CFCDD8E" w14:textId="488F6B94">
      <w:pPr>
        <w:pStyle w:val="Heading2"/>
        <w:ind w:left="0" w:firstLine="0"/>
      </w:pPr>
      <w:r w:rsidRPr="00EF0A6C">
        <w:t>Overview of the Calendar of Meetings</w:t>
      </w:r>
    </w:p>
    <w:p w:rsidR="00CD4005" w:rsidRPr="002F06A9" w:rsidP="002F4B61" w14:paraId="1BCC79CA" w14:textId="77777777">
      <w:pPr>
        <w:spacing w:after="0"/>
      </w:pPr>
    </w:p>
    <w:p w:rsidR="00EF0A6C" w:rsidP="00EF0A6C" w14:paraId="72AD8FCC" w14:textId="60C0AEDD">
      <w:pPr>
        <w:pStyle w:val="ListParagraph"/>
        <w:numPr>
          <w:ilvl w:val="0"/>
          <w:numId w:val="11"/>
        </w:numPr>
        <w:tabs>
          <w:tab w:val="left" w:pos="567"/>
        </w:tabs>
        <w:spacing w:after="0" w:line="240" w:lineRule="auto"/>
        <w:ind w:left="567" w:right="-284" w:hanging="567"/>
        <w:rPr>
          <w:rFonts w:cstheme="minorHAnsi"/>
          <w:bCs/>
          <w:iCs/>
        </w:rPr>
      </w:pPr>
      <w:r w:rsidRPr="00EF0A6C">
        <w:rPr>
          <w:rFonts w:cstheme="minorHAnsi"/>
          <w:bCs/>
          <w:iCs/>
        </w:rPr>
        <w:t>Appendix 1 presents a draft timetable of Full Council, Cabinet and Committee meetings for the period 1 May 202</w:t>
      </w:r>
      <w:r>
        <w:rPr>
          <w:rFonts w:cstheme="minorHAnsi"/>
          <w:bCs/>
          <w:iCs/>
        </w:rPr>
        <w:t>4</w:t>
      </w:r>
      <w:r w:rsidRPr="00EF0A6C">
        <w:rPr>
          <w:rFonts w:cstheme="minorHAnsi"/>
          <w:bCs/>
          <w:iCs/>
        </w:rPr>
        <w:t xml:space="preserve"> to 31 May 202</w:t>
      </w:r>
      <w:r>
        <w:rPr>
          <w:rFonts w:cstheme="minorHAnsi"/>
          <w:bCs/>
          <w:iCs/>
        </w:rPr>
        <w:t>5</w:t>
      </w:r>
      <w:r w:rsidRPr="00EF0A6C">
        <w:rPr>
          <w:rFonts w:cstheme="minorHAnsi"/>
          <w:bCs/>
          <w:iCs/>
        </w:rPr>
        <w:t xml:space="preserve"> inclusive. </w:t>
      </w:r>
    </w:p>
    <w:p w:rsidR="00EF0A6C" w:rsidRPr="00EF0A6C" w:rsidP="00EF0A6C" w14:paraId="43CD6893" w14:textId="77777777">
      <w:pPr>
        <w:tabs>
          <w:tab w:val="left" w:pos="567"/>
        </w:tabs>
        <w:spacing w:after="0" w:line="240" w:lineRule="auto"/>
        <w:ind w:left="567" w:right="-284" w:hanging="567"/>
        <w:rPr>
          <w:rFonts w:cstheme="minorHAnsi"/>
          <w:bCs/>
          <w:iCs/>
        </w:rPr>
      </w:pPr>
    </w:p>
    <w:p w:rsidR="00EF0A6C" w:rsidRPr="00EF0A6C" w:rsidP="00EF0A6C" w14:paraId="0772817E" w14:textId="5B014666">
      <w:pPr>
        <w:pStyle w:val="ListParagraph"/>
        <w:numPr>
          <w:ilvl w:val="0"/>
          <w:numId w:val="11"/>
        </w:numPr>
        <w:tabs>
          <w:tab w:val="left" w:pos="567"/>
        </w:tabs>
        <w:spacing w:after="0" w:line="240" w:lineRule="auto"/>
        <w:ind w:left="567" w:right="-284" w:hanging="567"/>
        <w:rPr>
          <w:rFonts w:cstheme="minorHAnsi"/>
          <w:bCs/>
          <w:iCs/>
        </w:rPr>
      </w:pPr>
      <w:r w:rsidRPr="00EF0A6C">
        <w:rPr>
          <w:rFonts w:cstheme="minorHAnsi"/>
          <w:bCs/>
          <w:iCs/>
        </w:rPr>
        <w:t xml:space="preserve">The timetable </w:t>
      </w:r>
      <w:r w:rsidRPr="00EF0A6C">
        <w:rPr>
          <w:rFonts w:cstheme="minorHAnsi"/>
          <w:bCs/>
          <w:iCs/>
        </w:rPr>
        <w:t>takes into account</w:t>
      </w:r>
      <w:r w:rsidRPr="00EF0A6C">
        <w:rPr>
          <w:rFonts w:cstheme="minorHAnsi"/>
          <w:bCs/>
          <w:iCs/>
        </w:rPr>
        <w:t>:</w:t>
      </w:r>
    </w:p>
    <w:p w:rsidR="00EF0A6C" w:rsidRPr="00EF0A6C" w:rsidP="00EF0A6C" w14:paraId="4EDE8654" w14:textId="71974C32">
      <w:pPr>
        <w:pStyle w:val="ListParagraph"/>
        <w:numPr>
          <w:ilvl w:val="0"/>
          <w:numId w:val="20"/>
        </w:numPr>
        <w:tabs>
          <w:tab w:val="left" w:pos="567"/>
        </w:tabs>
        <w:spacing w:after="0" w:line="240" w:lineRule="auto"/>
        <w:ind w:right="-284" w:hanging="645"/>
        <w:rPr>
          <w:rFonts w:cstheme="minorHAnsi"/>
          <w:bCs/>
          <w:iCs/>
        </w:rPr>
      </w:pPr>
      <w:r w:rsidRPr="00EF0A6C">
        <w:rPr>
          <w:rFonts w:cstheme="minorHAnsi"/>
          <w:bCs/>
          <w:iCs/>
        </w:rPr>
        <w:t>Existing decision-making arrangements</w:t>
      </w:r>
    </w:p>
    <w:p w:rsidR="00EF0A6C" w:rsidRPr="00EF0A6C" w:rsidP="00EF0A6C" w14:paraId="49D43043" w14:textId="253F88ED">
      <w:pPr>
        <w:pStyle w:val="ListParagraph"/>
        <w:numPr>
          <w:ilvl w:val="0"/>
          <w:numId w:val="20"/>
        </w:numPr>
        <w:tabs>
          <w:tab w:val="left" w:pos="567"/>
        </w:tabs>
        <w:spacing w:after="0" w:line="240" w:lineRule="auto"/>
        <w:ind w:right="-284" w:hanging="645"/>
        <w:rPr>
          <w:rFonts w:cstheme="minorHAnsi"/>
          <w:bCs/>
          <w:iCs/>
        </w:rPr>
      </w:pPr>
      <w:r w:rsidRPr="00EF0A6C">
        <w:rPr>
          <w:rFonts w:cstheme="minorHAnsi"/>
          <w:bCs/>
          <w:iCs/>
        </w:rPr>
        <w:t>School holiday closures</w:t>
      </w:r>
    </w:p>
    <w:p w:rsidR="00EF0A6C" w:rsidRPr="00EF0A6C" w:rsidP="00EF0A6C" w14:paraId="6C4C5BD2" w14:textId="53D83D61">
      <w:pPr>
        <w:pStyle w:val="ListParagraph"/>
        <w:numPr>
          <w:ilvl w:val="0"/>
          <w:numId w:val="20"/>
        </w:numPr>
        <w:tabs>
          <w:tab w:val="left" w:pos="567"/>
        </w:tabs>
        <w:spacing w:after="0" w:line="240" w:lineRule="auto"/>
        <w:ind w:right="-284" w:hanging="645"/>
        <w:rPr>
          <w:rFonts w:cstheme="minorHAnsi"/>
          <w:bCs/>
          <w:iCs/>
        </w:rPr>
      </w:pPr>
      <w:r w:rsidRPr="00EF0A6C">
        <w:rPr>
          <w:rFonts w:cstheme="minorHAnsi"/>
          <w:bCs/>
          <w:iCs/>
        </w:rPr>
        <w:t>Bank holidays</w:t>
      </w:r>
    </w:p>
    <w:p w:rsidR="00EF0A6C" w:rsidRPr="00EF0A6C" w:rsidP="00EF0A6C" w14:paraId="486B6D31" w14:textId="64E5D339">
      <w:pPr>
        <w:pStyle w:val="ListParagraph"/>
        <w:numPr>
          <w:ilvl w:val="0"/>
          <w:numId w:val="20"/>
        </w:numPr>
        <w:tabs>
          <w:tab w:val="left" w:pos="567"/>
        </w:tabs>
        <w:spacing w:after="0" w:line="240" w:lineRule="auto"/>
        <w:ind w:right="-284" w:hanging="645"/>
        <w:rPr>
          <w:rFonts w:cstheme="minorHAnsi"/>
          <w:bCs/>
          <w:iCs/>
        </w:rPr>
      </w:pPr>
      <w:r w:rsidRPr="00EF0A6C">
        <w:rPr>
          <w:rFonts w:cstheme="minorHAnsi"/>
          <w:bCs/>
          <w:iCs/>
        </w:rPr>
        <w:t>Parish council meetings</w:t>
      </w:r>
    </w:p>
    <w:p w:rsidR="00EF0A6C" w:rsidP="00EF0A6C" w14:paraId="5C48CBD6" w14:textId="3F510D13">
      <w:pPr>
        <w:pStyle w:val="ListParagraph"/>
        <w:numPr>
          <w:ilvl w:val="0"/>
          <w:numId w:val="20"/>
        </w:numPr>
        <w:tabs>
          <w:tab w:val="left" w:pos="567"/>
        </w:tabs>
        <w:spacing w:after="0" w:line="240" w:lineRule="auto"/>
        <w:ind w:right="-284" w:hanging="645"/>
        <w:rPr>
          <w:rFonts w:cstheme="minorHAnsi"/>
          <w:bCs/>
          <w:iCs/>
        </w:rPr>
      </w:pPr>
      <w:r w:rsidRPr="00EF0A6C">
        <w:rPr>
          <w:rFonts w:cstheme="minorHAnsi"/>
          <w:bCs/>
          <w:iCs/>
        </w:rPr>
        <w:t>Political group meetings</w:t>
      </w:r>
    </w:p>
    <w:p w:rsidR="00EF0A6C" w:rsidRPr="00EF0A6C" w:rsidP="00EF0A6C" w14:paraId="78BA980B" w14:textId="77777777">
      <w:pPr>
        <w:tabs>
          <w:tab w:val="left" w:pos="567"/>
        </w:tabs>
        <w:spacing w:after="0" w:line="240" w:lineRule="auto"/>
        <w:ind w:right="-284"/>
        <w:rPr>
          <w:rFonts w:cstheme="minorHAnsi"/>
          <w:bCs/>
          <w:iCs/>
        </w:rPr>
      </w:pPr>
    </w:p>
    <w:p w:rsidR="00CD4005" w:rsidRPr="0053497B" w:rsidP="00EF0A6C" w14:paraId="0E68EEC3" w14:textId="68D5E357">
      <w:pPr>
        <w:pStyle w:val="ListParagraph"/>
        <w:numPr>
          <w:ilvl w:val="0"/>
          <w:numId w:val="11"/>
        </w:numPr>
        <w:tabs>
          <w:tab w:val="left" w:pos="567"/>
        </w:tabs>
        <w:spacing w:after="0" w:line="240" w:lineRule="auto"/>
        <w:ind w:left="567" w:right="-284" w:hanging="567"/>
        <w:rPr>
          <w:rFonts w:eastAsia="Times New Roman" w:cstheme="minorHAnsi"/>
          <w:lang w:eastAsia="en-GB"/>
        </w:rPr>
      </w:pPr>
      <w:r w:rsidRPr="00EF0A6C">
        <w:rPr>
          <w:rFonts w:cstheme="minorHAnsi"/>
          <w:bCs/>
          <w:iCs/>
        </w:rPr>
        <w:t>As some parts of the authority work within the Shared Services environment work has been undertaken with officers at Chorley Council to mitigate potential clashes in dates.  Where necessary, alternative arrangements for delegation between the authorities shared leadership have been agreed.</w:t>
      </w:r>
    </w:p>
    <w:p w:rsidR="00B719B2" w:rsidRPr="0053497B" w:rsidP="0053497B" w14:paraId="3AC91CF6" w14:textId="77777777">
      <w:pPr>
        <w:tabs>
          <w:tab w:val="left" w:pos="567"/>
        </w:tabs>
        <w:spacing w:after="0" w:line="240" w:lineRule="auto"/>
        <w:ind w:right="-284"/>
        <w:rPr>
          <w:rFonts w:eastAsia="Times New Roman" w:cstheme="minorHAnsi"/>
          <w:lang w:eastAsia="en-GB"/>
        </w:rPr>
      </w:pPr>
    </w:p>
    <w:p w:rsidR="00215478" w:rsidRPr="00EF0A6C" w:rsidP="00EF0A6C" w14:paraId="3716974A" w14:textId="0166589E">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 xml:space="preserve">It is proposed that as per the Annual and Mayor Making meetings for the year 2023-24 the constitution be amended to enable the </w:t>
      </w:r>
      <w:r w:rsidR="00A2594F">
        <w:rPr>
          <w:rFonts w:cstheme="minorHAnsi"/>
          <w:bCs/>
          <w:iCs/>
        </w:rPr>
        <w:t>Mayor Making to come after the Annual Meeting</w:t>
      </w:r>
      <w:r>
        <w:rPr>
          <w:rFonts w:cstheme="minorHAnsi"/>
          <w:bCs/>
          <w:iCs/>
        </w:rPr>
        <w:t>.</w:t>
      </w:r>
    </w:p>
    <w:p w:rsidR="00CD4005" w:rsidP="002F4B61" w14:paraId="347CDA26" w14:textId="32BC3982">
      <w:pPr>
        <w:spacing w:after="0"/>
      </w:pPr>
    </w:p>
    <w:p w:rsidR="00EF0A6C" w:rsidP="002D2D4E" w14:paraId="621C494E" w14:textId="72D55A19">
      <w:pPr>
        <w:pStyle w:val="Heading2"/>
        <w:ind w:left="0" w:firstLine="0"/>
      </w:pPr>
      <w:r w:rsidRPr="002D2D4E">
        <w:t xml:space="preserve">Consultation carried out and outcomes of </w:t>
      </w:r>
      <w:r w:rsidRPr="002D2D4E">
        <w:t>consultation</w:t>
      </w:r>
    </w:p>
    <w:p w:rsidR="00EF0A6C" w:rsidP="002F4B61" w14:paraId="7DA74890" w14:textId="77777777">
      <w:pPr>
        <w:spacing w:after="0"/>
      </w:pPr>
    </w:p>
    <w:p w:rsidR="002D2D4E" w:rsidP="002D2D4E" w14:paraId="1AAA736D" w14:textId="1025D25C">
      <w:pPr>
        <w:pStyle w:val="ListParagraph"/>
        <w:numPr>
          <w:ilvl w:val="0"/>
          <w:numId w:val="11"/>
        </w:numPr>
        <w:spacing w:after="0" w:line="240" w:lineRule="auto"/>
        <w:ind w:left="567" w:hanging="567"/>
      </w:pPr>
      <w:r>
        <w:t xml:space="preserve">The proposed Calendar of Meetings was considered at a meeting of the Leader and Deputy Leader Briefing in </w:t>
      </w:r>
      <w:r w:rsidR="00A616BE">
        <w:t>Dec</w:t>
      </w:r>
      <w:r>
        <w:t>ember 202</w:t>
      </w:r>
      <w:r w:rsidR="00A616BE">
        <w:t>3</w:t>
      </w:r>
      <w:r>
        <w:t>.</w:t>
      </w:r>
    </w:p>
    <w:p w:rsidR="002D2D4E" w:rsidP="002D2D4E" w14:paraId="6D2D12E3" w14:textId="77777777">
      <w:pPr>
        <w:spacing w:after="0" w:line="240" w:lineRule="auto"/>
        <w:ind w:left="567" w:hanging="567"/>
      </w:pPr>
    </w:p>
    <w:p w:rsidR="002D2D4E" w:rsidRPr="00EA2A9F" w:rsidP="002D2D4E" w14:paraId="5C8F7890" w14:textId="73CED319">
      <w:pPr>
        <w:pStyle w:val="ListParagraph"/>
        <w:numPr>
          <w:ilvl w:val="0"/>
          <w:numId w:val="11"/>
        </w:numPr>
        <w:spacing w:after="0" w:line="240" w:lineRule="auto"/>
        <w:ind w:left="567" w:hanging="567"/>
      </w:pPr>
      <w:r w:rsidRPr="00EA2A9F">
        <w:t xml:space="preserve">Copies of the proposed Calendar of Meetings were emailed to the Leaders of the Conservative and Liberal Democrat Groups on </w:t>
      </w:r>
      <w:r w:rsidR="00EA2A9F">
        <w:t>8</w:t>
      </w:r>
      <w:r w:rsidRPr="00EA2A9F" w:rsidR="00D43EF2">
        <w:t xml:space="preserve"> January</w:t>
      </w:r>
      <w:r w:rsidRPr="00EA2A9F">
        <w:t xml:space="preserve"> 202</w:t>
      </w:r>
      <w:r w:rsidRPr="00EA2A9F" w:rsidR="00D43EF2">
        <w:t>4 for information</w:t>
      </w:r>
      <w:r w:rsidRPr="00EA2A9F">
        <w:t>.</w:t>
      </w:r>
    </w:p>
    <w:p w:rsidR="002D2D4E" w:rsidP="002D2D4E" w14:paraId="67DE6BF2" w14:textId="77777777">
      <w:pPr>
        <w:spacing w:after="0" w:line="240" w:lineRule="auto"/>
        <w:ind w:left="567" w:hanging="567"/>
      </w:pPr>
    </w:p>
    <w:p w:rsidR="00EF0A6C" w:rsidP="002D2D4E" w14:paraId="16A339D3" w14:textId="7DDA6B9F">
      <w:pPr>
        <w:pStyle w:val="ListParagraph"/>
        <w:numPr>
          <w:ilvl w:val="0"/>
          <w:numId w:val="11"/>
        </w:numPr>
        <w:spacing w:after="0" w:line="240" w:lineRule="auto"/>
        <w:ind w:left="567" w:hanging="567"/>
      </w:pPr>
      <w:r>
        <w:t>The Shared Senior Management Team was also consulted on the calendar.</w:t>
      </w:r>
    </w:p>
    <w:p w:rsidR="00EF0A6C" w:rsidP="002D2D4E" w14:paraId="728F9579" w14:textId="77777777">
      <w:pPr>
        <w:spacing w:after="0"/>
        <w:ind w:left="567" w:hanging="567"/>
      </w:pPr>
    </w:p>
    <w:p w:rsidR="008B2D37" w:rsidRPr="008C37E1" w:rsidP="002F4B61" w14:paraId="7B0BC669" w14:textId="77777777">
      <w:pPr>
        <w:pStyle w:val="Heading2"/>
      </w:pPr>
      <w:bookmarkStart w:id="0" w:name="_Hlk107392085"/>
      <w:r w:rsidRPr="008C37E1">
        <w:t>Climate change and air quality</w:t>
      </w:r>
    </w:p>
    <w:p w:rsidR="008B2D37" w:rsidRPr="00E06F2E" w:rsidP="008B2D37" w14:paraId="3CB72E7F" w14:textId="77777777">
      <w:pPr>
        <w:tabs>
          <w:tab w:val="left" w:pos="567"/>
        </w:tabs>
        <w:spacing w:after="0" w:line="240" w:lineRule="auto"/>
        <w:ind w:right="-284"/>
        <w:rPr>
          <w:rFonts w:ascii="Arial" w:eastAsia="Times New Roman" w:hAnsi="Arial" w:cs="Arial"/>
          <w:lang w:eastAsia="en-GB"/>
        </w:rPr>
      </w:pPr>
    </w:p>
    <w:p w:rsidR="008B2D37" w:rsidRPr="006C6958" w:rsidP="006C6958" w14:paraId="5A7F8637" w14:textId="4DA03660">
      <w:pPr>
        <w:pStyle w:val="ListParagraph"/>
        <w:numPr>
          <w:ilvl w:val="0"/>
          <w:numId w:val="11"/>
        </w:numPr>
        <w:spacing w:after="0" w:line="240" w:lineRule="auto"/>
        <w:ind w:left="567" w:hanging="567"/>
        <w:rPr>
          <w:rFonts w:ascii="Arial" w:hAnsi="Arial" w:cs="Arial"/>
          <w:lang w:eastAsia="en-GB"/>
        </w:rPr>
      </w:pPr>
      <w:r>
        <w:t xml:space="preserve">The </w:t>
      </w:r>
      <w:r w:rsidR="006C6958">
        <w:t>work noted in this report does not impact the climate change and sustainability targets of the Councils Green Agenda and all environmental considerations are in place.</w:t>
      </w:r>
      <w:r w:rsidR="006C6958">
        <w:cr/>
      </w:r>
    </w:p>
    <w:p w:rsidR="00B719B2" w14:paraId="34D75ECC" w14:textId="77777777">
      <w:pPr>
        <w:rPr>
          <w:rFonts w:ascii="Arial" w:eastAsia="Times New Roman" w:hAnsi="Arial" w:cs="Times New Roman"/>
          <w:b/>
          <w:bCs/>
          <w:szCs w:val="36"/>
          <w:lang w:eastAsia="en-GB"/>
        </w:rPr>
      </w:pPr>
      <w:bookmarkStart w:id="1" w:name="_Hlk107392059"/>
      <w:bookmarkEnd w:id="0"/>
      <w:r>
        <w:br w:type="page"/>
      </w:r>
    </w:p>
    <w:p w:rsidR="008B2D37" w:rsidRPr="008C37E1" w:rsidP="00163649" w14:paraId="39676BF9" w14:textId="3CD790B6">
      <w:pPr>
        <w:pStyle w:val="Heading2"/>
      </w:pPr>
      <w:r w:rsidRPr="008C37E1">
        <w:t>Equality and diversity</w:t>
      </w:r>
    </w:p>
    <w:p w:rsidR="008B2D37" w:rsidRPr="00ED4FF1" w:rsidP="00163649" w14:paraId="4FA5EF12" w14:textId="77777777">
      <w:pPr>
        <w:spacing w:after="0"/>
      </w:pPr>
    </w:p>
    <w:p w:rsidR="00584159" w:rsidP="008F088B" w14:paraId="5BF5DF05" w14:textId="7F36E49E">
      <w:pPr>
        <w:pStyle w:val="ListParagraph"/>
        <w:numPr>
          <w:ilvl w:val="0"/>
          <w:numId w:val="11"/>
        </w:numPr>
        <w:spacing w:after="0" w:line="256" w:lineRule="auto"/>
        <w:ind w:left="567" w:hanging="567"/>
        <w:rPr>
          <w:rFonts w:cstheme="minorHAnsi"/>
          <w:iCs/>
        </w:rPr>
      </w:pPr>
      <w:r w:rsidRPr="008F088B">
        <w:rPr>
          <w:rFonts w:cstheme="minorHAnsi"/>
          <w:iCs/>
        </w:rPr>
        <w:t>There are no implications on equality or diversity arising from this decision.</w:t>
      </w:r>
    </w:p>
    <w:p w:rsidR="008F088B" w:rsidRPr="008F088B" w:rsidP="008F088B" w14:paraId="6E8BD783" w14:textId="77777777">
      <w:pPr>
        <w:spacing w:after="0" w:line="256" w:lineRule="auto"/>
        <w:rPr>
          <w:rFonts w:cstheme="minorHAnsi"/>
          <w:iCs/>
        </w:rPr>
      </w:pPr>
    </w:p>
    <w:p w:rsidR="008B2D37" w:rsidRPr="008C37E1" w:rsidP="001D3B9C" w14:paraId="52FD231E" w14:textId="77777777">
      <w:pPr>
        <w:pStyle w:val="Heading2"/>
      </w:pPr>
      <w:r w:rsidRPr="008C37E1">
        <w:t>Risk</w:t>
      </w:r>
    </w:p>
    <w:bookmarkEnd w:id="1"/>
    <w:p w:rsidR="008B2D37" w:rsidP="008B2D37" w14:paraId="54390698" w14:textId="77777777">
      <w:pPr>
        <w:spacing w:after="0"/>
      </w:pPr>
    </w:p>
    <w:p w:rsidR="00D1305C" w:rsidRPr="00B7061A" w:rsidP="00B7061A" w14:paraId="3612AD90" w14:textId="213FD29E">
      <w:pPr>
        <w:pStyle w:val="ListParagraph"/>
        <w:numPr>
          <w:ilvl w:val="0"/>
          <w:numId w:val="11"/>
        </w:numPr>
        <w:spacing w:after="0" w:line="240" w:lineRule="auto"/>
        <w:ind w:left="567" w:hanging="567"/>
        <w:rPr>
          <w:rFonts w:cstheme="minorHAnsi"/>
          <w:b/>
          <w:bCs/>
          <w:sz w:val="20"/>
          <w:szCs w:val="20"/>
        </w:rPr>
      </w:pPr>
      <w:r>
        <w:t>It should be acknowledged that the calendar of meetings is a fluid document and there may be occasions where meetings are called or cancelled with little notice. The Democratic Services team will endeavour to avoid such events, but this is not often possible due to the ever-changing nature of the decision-making process.</w:t>
      </w:r>
    </w:p>
    <w:p w:rsidR="00B7061A" w:rsidRPr="00B7061A" w:rsidP="00B7061A" w14:paraId="4CE5A6E1" w14:textId="77777777">
      <w:pPr>
        <w:spacing w:after="0"/>
        <w:rPr>
          <w:rFonts w:cstheme="minorHAnsi"/>
          <w:b/>
          <w:bCs/>
          <w:sz w:val="20"/>
          <w:szCs w:val="20"/>
        </w:rPr>
      </w:pPr>
    </w:p>
    <w:p w:rsidR="00D1305C" w:rsidP="006D56BC" w14:paraId="0599383F" w14:textId="20770FE1">
      <w:pPr>
        <w:pStyle w:val="Heading2"/>
      </w:pPr>
      <w:r w:rsidRPr="008C37E1">
        <w:t>Comments of the Statutory Finance Officer</w:t>
      </w:r>
    </w:p>
    <w:p w:rsidR="008C37E1" w:rsidRPr="008C37E1" w:rsidP="006D56BC" w14:paraId="12A8F18C" w14:textId="77777777">
      <w:pPr>
        <w:spacing w:after="0"/>
      </w:pPr>
    </w:p>
    <w:p w:rsidR="00D1305C" w:rsidRPr="00883AC9" w:rsidP="00E10BF8" w14:paraId="620F6E93" w14:textId="640D8647">
      <w:pPr>
        <w:numPr>
          <w:ilvl w:val="0"/>
          <w:numId w:val="11"/>
        </w:numPr>
        <w:spacing w:after="0" w:line="240" w:lineRule="auto"/>
        <w:ind w:left="567" w:hanging="567"/>
        <w:jc w:val="both"/>
        <w:rPr>
          <w:rFonts w:cstheme="minorHAnsi"/>
          <w:bCs/>
          <w:iCs/>
        </w:rPr>
      </w:pPr>
      <w:r w:rsidRPr="00883AC9">
        <w:rPr>
          <w:rFonts w:cstheme="minorHAnsi"/>
          <w:bCs/>
          <w:iCs/>
        </w:rPr>
        <w:t>Th</w:t>
      </w:r>
      <w:r>
        <w:rPr>
          <w:rFonts w:cstheme="minorHAnsi"/>
          <w:bCs/>
          <w:iCs/>
        </w:rPr>
        <w:t>ere are no direct financial implications arising from this report.</w:t>
      </w:r>
    </w:p>
    <w:p w:rsidR="00D1305C" w:rsidRPr="00D4431F" w:rsidP="002F1805" w14:paraId="0511E542" w14:textId="77777777">
      <w:pPr>
        <w:spacing w:after="0" w:line="240" w:lineRule="auto"/>
        <w:jc w:val="both"/>
        <w:rPr>
          <w:rFonts w:cstheme="minorHAnsi"/>
          <w:bCs/>
        </w:rPr>
      </w:pPr>
    </w:p>
    <w:p w:rsidR="00D1305C" w:rsidP="006D56BC" w14:paraId="1A94BF04" w14:textId="76475449">
      <w:pPr>
        <w:pStyle w:val="Heading2"/>
      </w:pPr>
      <w:r w:rsidRPr="008C37E1">
        <w:t>Comments of the Monitoring Officer</w:t>
      </w:r>
    </w:p>
    <w:p w:rsidR="008C37E1" w:rsidRPr="008C37E1" w:rsidP="00474F63" w14:paraId="297958DA" w14:textId="77777777">
      <w:pPr>
        <w:spacing w:after="0"/>
      </w:pPr>
    </w:p>
    <w:p w:rsidR="00D1305C" w:rsidRPr="00883AC9" w:rsidP="00E10BF8" w14:paraId="279A28FA" w14:textId="6E892668">
      <w:pPr>
        <w:numPr>
          <w:ilvl w:val="0"/>
          <w:numId w:val="11"/>
        </w:numPr>
        <w:spacing w:after="0" w:line="240" w:lineRule="auto"/>
        <w:ind w:left="567" w:hanging="567"/>
        <w:jc w:val="both"/>
        <w:rPr>
          <w:rFonts w:cstheme="minorHAnsi"/>
          <w:bCs/>
          <w:iCs/>
        </w:rPr>
      </w:pPr>
      <w:r>
        <w:rPr>
          <w:rFonts w:cstheme="minorHAnsi"/>
          <w:bCs/>
          <w:iCs/>
        </w:rPr>
        <w:t>As per the report, this decision will require an amendment to the constitution. The delegation, which relates to a local arrangement, is properly made to the Director of Governance to enable the adoption of the Calendar.</w:t>
      </w:r>
    </w:p>
    <w:p w:rsidR="00D1305C" w:rsidRPr="002F1805" w:rsidP="006D56BC" w14:paraId="6DCF9827" w14:textId="77777777">
      <w:pPr>
        <w:spacing w:after="0"/>
      </w:pPr>
    </w:p>
    <w:p w:rsidR="006D56BC" w:rsidP="006B7CC3" w14:paraId="23A7AC7B" w14:textId="77777777">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rsidR="006D56BC" w:rsidP="006D56BC" w14:paraId="35350CD9" w14:textId="77777777">
      <w:pPr>
        <w:spacing w:after="0" w:line="20" w:lineRule="atLeast"/>
        <w:rPr>
          <w:lang w:eastAsia="en-GB"/>
        </w:rPr>
      </w:pPr>
    </w:p>
    <w:p w:rsidR="00D1305C" w:rsidP="006D56BC" w14:paraId="033FA6B0" w14:textId="51E3F787">
      <w:pPr>
        <w:spacing w:after="0" w:line="20" w:lineRule="atLeast"/>
        <w:rPr>
          <w:lang w:eastAsia="en-GB"/>
        </w:rPr>
      </w:pPr>
      <w:r w:rsidRPr="009A514D">
        <w:rPr>
          <w:lang w:eastAsia="en-GB"/>
        </w:rPr>
        <w:t>There are no background papers to this report</w:t>
      </w:r>
      <w:r w:rsidR="006D56BC">
        <w:rPr>
          <w:lang w:eastAsia="en-GB"/>
        </w:rPr>
        <w:t xml:space="preserve">.  </w:t>
      </w:r>
    </w:p>
    <w:p w:rsidR="002F1805" w:rsidRPr="002F1805" w:rsidP="006D56BC" w14:paraId="6E67DCA6" w14:textId="77777777">
      <w:pPr>
        <w:spacing w:after="0"/>
      </w:pPr>
    </w:p>
    <w:p w:rsidR="00D1305C" w:rsidRPr="008C37E1" w:rsidP="006D56BC" w14:paraId="48097988" w14:textId="7EA4E180">
      <w:pPr>
        <w:pStyle w:val="Heading2"/>
      </w:pPr>
      <w:r w:rsidRPr="008C37E1">
        <w:t xml:space="preserve">Appendices </w:t>
      </w:r>
    </w:p>
    <w:p w:rsidR="002F1805" w:rsidRPr="002F1805" w:rsidP="006D56BC" w14:paraId="14435535" w14:textId="77777777">
      <w:pPr>
        <w:spacing w:after="20" w:line="240" w:lineRule="auto"/>
      </w:pPr>
    </w:p>
    <w:p w:rsidR="00D1305C" w:rsidRPr="00883AC9" w:rsidP="006D56BC" w14:paraId="22D86499" w14:textId="7B0ABDE0">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Pr>
          <w:rFonts w:eastAsia="Times New Roman"/>
          <w:iCs/>
          <w:color w:val="000000" w:themeColor="text1"/>
          <w:kern w:val="36"/>
          <w:lang w:eastAsia="en-GB"/>
        </w:rPr>
        <w:t xml:space="preserve"> - </w:t>
      </w:r>
      <w:r>
        <w:t>Proposed 2024/25 Calendar of Meetings</w:t>
      </w:r>
    </w:p>
    <w:p w:rsidR="00D1305C" w:rsidRPr="002F1805" w:rsidP="006D56BC" w14:paraId="7D2AB4E4" w14:textId="77777777">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754"/>
        <w:gridCol w:w="1426"/>
        <w:gridCol w:w="1231"/>
      </w:tblGrid>
      <w:tr w14:paraId="342F19D2" w14:textId="77777777" w:rsidTr="008D541D">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45" w:type="dxa"/>
            <w:shd w:val="clear" w:color="auto" w:fill="auto"/>
          </w:tcPr>
          <w:p w:rsidR="00D1305C" w:rsidRPr="00D1305C" w:rsidP="00D1305C" w14:paraId="6A6A83F0"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rsidR="00D1305C" w:rsidRPr="00D1305C" w:rsidP="00D1305C" w14:paraId="13548ACC"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rsidR="00D1305C" w:rsidRPr="00D1305C" w:rsidP="00D1305C" w14:paraId="2D5D6A36"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rsidR="00D1305C" w:rsidRPr="00D1305C" w:rsidP="00D1305C" w14:paraId="73C052A3"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14:paraId="79B87AE3" w14:textId="77777777" w:rsidTr="008D541D">
        <w:tblPrEx>
          <w:tblW w:w="0" w:type="auto"/>
          <w:tblInd w:w="-5" w:type="dxa"/>
          <w:tblLook w:val="04A0"/>
        </w:tblPrEx>
        <w:tc>
          <w:tcPr>
            <w:tcW w:w="3645" w:type="dxa"/>
            <w:shd w:val="clear" w:color="auto" w:fill="auto"/>
          </w:tcPr>
          <w:p w:rsidR="00D1305C" w:rsidRPr="00D1305C" w:rsidP="00EF0D35" w14:paraId="0DFE68A1" w14:textId="77777777">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Ruth Rimmington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Democratic Services Team Leader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rsidR="00D1305C" w:rsidRPr="00D1305C" w:rsidP="00EF0D35" w14:paraId="7400AC12" w14:textId="7DAF4A13">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ruth.rimmington@southribble.gov.uk</w:t>
            </w:r>
            <w:r>
              <w:rPr>
                <w:rFonts w:eastAsia="Times New Roman" w:cstheme="minorHAnsi"/>
                <w:bCs/>
                <w:color w:val="000000" w:themeColor="text1"/>
                <w:kern w:val="36"/>
                <w:lang w:eastAsia="en-GB"/>
              </w:rPr>
              <w:fldChar w:fldCharType="end"/>
            </w:r>
            <w:r w:rsidR="00D43EF2">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t xml:space="preserve"> </w:t>
            </w:r>
          </w:p>
        </w:tc>
        <w:tc>
          <w:tcPr>
            <w:tcW w:w="1519" w:type="dxa"/>
            <w:tcBorders>
              <w:bottom w:val="single" w:sz="4" w:space="0" w:color="auto"/>
            </w:tcBorders>
            <w:shd w:val="clear" w:color="auto" w:fill="auto"/>
          </w:tcPr>
          <w:p w:rsidR="00D1305C" w:rsidRPr="00D1305C" w:rsidP="00EF0D35" w14:paraId="58D62899" w14:textId="59869522">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01257 515118 </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53497B">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rsidR="00D1305C" w:rsidRPr="00D1305C" w:rsidP="00EF0D35" w14:paraId="2AE04B60" w14:textId="3612456F">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14 November 2023 </w:t>
            </w:r>
          </w:p>
        </w:tc>
      </w:tr>
    </w:tbl>
    <w:p w:rsidR="0025620C" w:rsidRPr="00A95452" w:rsidP="00C432C3" w14:paraId="4E3FB662" w14:textId="42DE26AA">
      <w:pPr>
        <w:pStyle w:val="Heading2"/>
        <w:ind w:left="0" w:firstLine="0"/>
      </w:pPr>
    </w:p>
    <w:sectPr w:rsidSect="00613EC1">
      <w:headerReference w:type="even" r:id="rId5"/>
      <w:headerReference w:type="default" r:id="rId6"/>
      <w:footerReference w:type="even" r:id="rId7"/>
      <w:footerReference w:type="default" r:id="rId8"/>
      <w:headerReference w:type="first" r:id="rId9"/>
      <w:footerReference w:type="first" r:id="rId10"/>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446EA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2FB5CC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1F4587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7515A2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2E1EC3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2F" w14:paraId="0A535B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5318B"/>
    <w:multiLevelType w:val="hybridMultilevel"/>
    <w:tmpl w:val="BA2EF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BE1296"/>
    <w:multiLevelType w:val="hybridMultilevel"/>
    <w:tmpl w:val="8EDC2A14"/>
    <w:lvl w:ilvl="0">
      <w:start w:val="0"/>
      <w:numFmt w:val="bullet"/>
      <w:lvlText w:val="•"/>
      <w:lvlJc w:val="left"/>
      <w:pPr>
        <w:ind w:left="1212" w:hanging="360"/>
      </w:pPr>
      <w:rPr>
        <w:rFonts w:ascii="Arial" w:hAnsi="Arial" w:eastAsiaTheme="minorHAnsi" w:cs="Aria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
    <w:nsid w:val="1DC7254F"/>
    <w:multiLevelType w:val="hybridMultilevel"/>
    <w:tmpl w:val="F7FE8AB2"/>
    <w:lvl w:ilvl="0">
      <w:start w:val="0"/>
      <w:numFmt w:val="bullet"/>
      <w:lvlText w:val="•"/>
      <w:lvlJc w:val="left"/>
      <w:pPr>
        <w:ind w:left="786" w:hanging="360"/>
      </w:pPr>
      <w:rPr>
        <w:rFonts w:ascii="Arial" w:hAnsi="Arial" w:eastAsiaTheme="minorHAnsi" w:cs="Aria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34DB7407"/>
    <w:multiLevelType w:val="hybridMultilevel"/>
    <w:tmpl w:val="F084AB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5435624"/>
    <w:multiLevelType w:val="multilevel"/>
    <w:tmpl w:val="E5243A14"/>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CC44717"/>
    <w:multiLevelType w:val="hybridMultilevel"/>
    <w:tmpl w:val="063CA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E03EA3"/>
    <w:multiLevelType w:val="hybridMultilevel"/>
    <w:tmpl w:val="7F0C52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DE97A40"/>
    <w:multiLevelType w:val="hybridMultilevel"/>
    <w:tmpl w:val="95CC46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7D23128"/>
    <w:multiLevelType w:val="hybridMultilevel"/>
    <w:tmpl w:val="F08A84E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4">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7"/>
  </w:num>
  <w:num w:numId="2" w16cid:durableId="971640371">
    <w:abstractNumId w:val="15"/>
  </w:num>
  <w:num w:numId="3" w16cid:durableId="1703246246">
    <w:abstractNumId w:val="9"/>
  </w:num>
  <w:num w:numId="4" w16cid:durableId="1661960056">
    <w:abstractNumId w:val="14"/>
  </w:num>
  <w:num w:numId="5" w16cid:durableId="1255817531">
    <w:abstractNumId w:val="8"/>
  </w:num>
  <w:num w:numId="6" w16cid:durableId="2095392990">
    <w:abstractNumId w:val="3"/>
  </w:num>
  <w:num w:numId="7" w16cid:durableId="226307799">
    <w:abstractNumId w:val="5"/>
  </w:num>
  <w:num w:numId="8" w16cid:durableId="561066043">
    <w:abstractNumId w:val="12"/>
  </w:num>
  <w:num w:numId="9" w16cid:durableId="2064983767">
    <w:abstractNumId w:val="18"/>
  </w:num>
  <w:num w:numId="10" w16cid:durableId="852064163">
    <w:abstractNumId w:val="16"/>
  </w:num>
  <w:num w:numId="11" w16cid:durableId="1216090127">
    <w:abstractNumId w:val="6"/>
  </w:num>
  <w:num w:numId="12" w16cid:durableId="1499350451">
    <w:abstractNumId w:val="7"/>
  </w:num>
  <w:num w:numId="13" w16cid:durableId="963002580">
    <w:abstractNumId w:val="0"/>
  </w:num>
  <w:num w:numId="14" w16cid:durableId="1234437176">
    <w:abstractNumId w:val="10"/>
  </w:num>
  <w:num w:numId="15" w16cid:durableId="754864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95975">
    <w:abstractNumId w:val="11"/>
  </w:num>
  <w:num w:numId="18" w16cid:durableId="781462980">
    <w:abstractNumId w:val="13"/>
  </w:num>
  <w:num w:numId="19" w16cid:durableId="1367945139">
    <w:abstractNumId w:val="2"/>
  </w:num>
  <w:num w:numId="20" w16cid:durableId="772363730">
    <w:abstractNumId w:val="1"/>
  </w:num>
  <w:num w:numId="21" w16cid:durableId="1980836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D002F"/>
    <w:rsid w:val="000F75CB"/>
    <w:rsid w:val="00126587"/>
    <w:rsid w:val="00163649"/>
    <w:rsid w:val="001A1A4C"/>
    <w:rsid w:val="001C6ED7"/>
    <w:rsid w:val="001D3B9C"/>
    <w:rsid w:val="001F385C"/>
    <w:rsid w:val="001F7768"/>
    <w:rsid w:val="00210AEC"/>
    <w:rsid w:val="00215478"/>
    <w:rsid w:val="00224B8E"/>
    <w:rsid w:val="0025620C"/>
    <w:rsid w:val="00273876"/>
    <w:rsid w:val="00282A51"/>
    <w:rsid w:val="00284855"/>
    <w:rsid w:val="002A0009"/>
    <w:rsid w:val="002A26B8"/>
    <w:rsid w:val="002A5BA0"/>
    <w:rsid w:val="002B17E6"/>
    <w:rsid w:val="002C4DAB"/>
    <w:rsid w:val="002D2D4E"/>
    <w:rsid w:val="002F06A9"/>
    <w:rsid w:val="002F1805"/>
    <w:rsid w:val="002F4B61"/>
    <w:rsid w:val="0032368D"/>
    <w:rsid w:val="00351879"/>
    <w:rsid w:val="00367901"/>
    <w:rsid w:val="00380522"/>
    <w:rsid w:val="003806F9"/>
    <w:rsid w:val="00393552"/>
    <w:rsid w:val="003B02F5"/>
    <w:rsid w:val="003C06A0"/>
    <w:rsid w:val="003E3722"/>
    <w:rsid w:val="003E3AB0"/>
    <w:rsid w:val="003F64E2"/>
    <w:rsid w:val="003F68E4"/>
    <w:rsid w:val="00402D18"/>
    <w:rsid w:val="0041722B"/>
    <w:rsid w:val="00457821"/>
    <w:rsid w:val="00474F63"/>
    <w:rsid w:val="004758E2"/>
    <w:rsid w:val="00483CC4"/>
    <w:rsid w:val="00490A28"/>
    <w:rsid w:val="0049437A"/>
    <w:rsid w:val="00510168"/>
    <w:rsid w:val="00522E7D"/>
    <w:rsid w:val="0053497B"/>
    <w:rsid w:val="00542184"/>
    <w:rsid w:val="005629DD"/>
    <w:rsid w:val="00576DC5"/>
    <w:rsid w:val="00584159"/>
    <w:rsid w:val="005C5465"/>
    <w:rsid w:val="005E7794"/>
    <w:rsid w:val="00613634"/>
    <w:rsid w:val="00613EC1"/>
    <w:rsid w:val="00617525"/>
    <w:rsid w:val="00625D21"/>
    <w:rsid w:val="00627A92"/>
    <w:rsid w:val="00641609"/>
    <w:rsid w:val="00643408"/>
    <w:rsid w:val="006A7267"/>
    <w:rsid w:val="006B1C4D"/>
    <w:rsid w:val="006B62C4"/>
    <w:rsid w:val="006B7CC3"/>
    <w:rsid w:val="006C6958"/>
    <w:rsid w:val="006D56BC"/>
    <w:rsid w:val="006D6F9B"/>
    <w:rsid w:val="00706128"/>
    <w:rsid w:val="00737971"/>
    <w:rsid w:val="007637E9"/>
    <w:rsid w:val="00774BC4"/>
    <w:rsid w:val="0078549D"/>
    <w:rsid w:val="007948D6"/>
    <w:rsid w:val="007C7E3E"/>
    <w:rsid w:val="007D4CD8"/>
    <w:rsid w:val="007D5882"/>
    <w:rsid w:val="007E1876"/>
    <w:rsid w:val="007E4570"/>
    <w:rsid w:val="007E4749"/>
    <w:rsid w:val="00804F02"/>
    <w:rsid w:val="00812062"/>
    <w:rsid w:val="00831138"/>
    <w:rsid w:val="0085583E"/>
    <w:rsid w:val="00857BD9"/>
    <w:rsid w:val="00877102"/>
    <w:rsid w:val="00883AC9"/>
    <w:rsid w:val="008A4C2F"/>
    <w:rsid w:val="008B2D37"/>
    <w:rsid w:val="008C37E1"/>
    <w:rsid w:val="008D541D"/>
    <w:rsid w:val="008F088B"/>
    <w:rsid w:val="008F13BA"/>
    <w:rsid w:val="009157BD"/>
    <w:rsid w:val="009472CD"/>
    <w:rsid w:val="00947881"/>
    <w:rsid w:val="00950219"/>
    <w:rsid w:val="00957931"/>
    <w:rsid w:val="00974AB3"/>
    <w:rsid w:val="009A018E"/>
    <w:rsid w:val="009A514D"/>
    <w:rsid w:val="009B1145"/>
    <w:rsid w:val="009C1604"/>
    <w:rsid w:val="009D625C"/>
    <w:rsid w:val="00A0164F"/>
    <w:rsid w:val="00A2594F"/>
    <w:rsid w:val="00A356DB"/>
    <w:rsid w:val="00A47DF8"/>
    <w:rsid w:val="00A616BE"/>
    <w:rsid w:val="00A67766"/>
    <w:rsid w:val="00A851F7"/>
    <w:rsid w:val="00A95452"/>
    <w:rsid w:val="00A964C7"/>
    <w:rsid w:val="00B0500A"/>
    <w:rsid w:val="00B7061A"/>
    <w:rsid w:val="00B719B2"/>
    <w:rsid w:val="00B85F3A"/>
    <w:rsid w:val="00B8772E"/>
    <w:rsid w:val="00B95697"/>
    <w:rsid w:val="00BA2420"/>
    <w:rsid w:val="00BC25D4"/>
    <w:rsid w:val="00BC3CC9"/>
    <w:rsid w:val="00BE1920"/>
    <w:rsid w:val="00BE5BEB"/>
    <w:rsid w:val="00BE77AB"/>
    <w:rsid w:val="00C03CA4"/>
    <w:rsid w:val="00C3676B"/>
    <w:rsid w:val="00C432C3"/>
    <w:rsid w:val="00CD2D2B"/>
    <w:rsid w:val="00CD4005"/>
    <w:rsid w:val="00CF622A"/>
    <w:rsid w:val="00D0369E"/>
    <w:rsid w:val="00D1305C"/>
    <w:rsid w:val="00D233F0"/>
    <w:rsid w:val="00D43EF2"/>
    <w:rsid w:val="00D4431F"/>
    <w:rsid w:val="00DA6255"/>
    <w:rsid w:val="00DF59D9"/>
    <w:rsid w:val="00DF7476"/>
    <w:rsid w:val="00E05F7E"/>
    <w:rsid w:val="00E06F2E"/>
    <w:rsid w:val="00E10BF8"/>
    <w:rsid w:val="00E53D73"/>
    <w:rsid w:val="00E709F7"/>
    <w:rsid w:val="00E75510"/>
    <w:rsid w:val="00E811D7"/>
    <w:rsid w:val="00E85783"/>
    <w:rsid w:val="00E87F45"/>
    <w:rsid w:val="00E963B8"/>
    <w:rsid w:val="00EA2A9F"/>
    <w:rsid w:val="00EC0007"/>
    <w:rsid w:val="00ED3333"/>
    <w:rsid w:val="00ED4FF1"/>
    <w:rsid w:val="00EF0A6C"/>
    <w:rsid w:val="00EF0D35"/>
    <w:rsid w:val="00F26C7F"/>
    <w:rsid w:val="00F37B00"/>
    <w:rsid w:val="00F60644"/>
    <w:rsid w:val="00F929C3"/>
    <w:rsid w:val="00F967A2"/>
    <w:rsid w:val="00F97987"/>
    <w:rsid w:val="00FB2F2E"/>
    <w:rsid w:val="00FB3074"/>
    <w:rsid w:val="00FC5CFD"/>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hAnsi="Arial" w:eastAsiaTheme="majorEastAsia"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hAnsi="Arial" w:eastAsiaTheme="majorEastAsia"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DA6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31</cp:revision>
  <cp:lastPrinted>2014-03-21T13:56:00Z</cp:lastPrinted>
  <dcterms:created xsi:type="dcterms:W3CDTF">2023-02-10T11:37:00Z</dcterms:created>
  <dcterms:modified xsi:type="dcterms:W3CDTF">2024-01-22T17:18:00Z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Calendar of Meetings 2024/25</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Ruth Rimmington</vt:lpwstr>
  </property>
  <property fmtid="{D5CDD505-2E9C-101B-9397-08002B2CF9AE}" pid="7" name="LeadOfficerEmail">
    <vt:lpwstr>ruth.rimmington@southribble.gov.uk</vt:lpwstr>
  </property>
  <property fmtid="{D5CDD505-2E9C-101B-9397-08002B2CF9AE}" pid="8" name="LeadOfficerPost">
    <vt:lpwstr>Democratic Services Team Leader</vt:lpwstr>
  </property>
  <property fmtid="{D5CDD505-2E9C-101B-9397-08002B2CF9AE}" pid="9" name="LeadOfficerTel">
    <vt:lpwstr/>
  </property>
  <property fmtid="{D5CDD505-2E9C-101B-9397-08002B2CF9AE}" pid="10" name="MeetingDate">
    <vt:lpwstr>Wednesday, 31 January 2024</vt:lpwstr>
  </property>
  <property fmtid="{D5CDD505-2E9C-101B-9397-08002B2CF9AE}" pid="11" name="MSIP_Label_f96679a5-570c-40a6-a557-668bc9231a44_ActionId">
    <vt:lpwstr>971dc700-214b-45b4-9bf1-3009a1f9ec8c</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2024-01-16T12:56:58Z</vt:lpwstr>
  </property>
  <property fmtid="{D5CDD505-2E9C-101B-9397-08002B2CF9AE}" pid="17" name="MSIP_Label_f96679a5-570c-40a6-a557-668bc9231a44_SiteId">
    <vt:lpwstr>20f96ace-1eb4-4e2b-bd81-aabea267ccfb</vt:lpwstr>
  </property>
</Properties>
</file>